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rd20260910_8k.htm"/>
      <w:bookmarkStart w:id="1" w:name="ksfrd20260910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8-K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September 3,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FRIEDMAN INDUSTRIES, INCORPORATED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8550" w:type="dxa"/>
        <w:jc w:val="left"/>
        <w:tblInd w:w="0" w:type="dxa"/>
        <w:tblLayout w:type="fixed"/>
        <w:tblCellMar>
          <w:top w:w="0" w:type="dxa"/>
          <w:left w:w="0" w:type="dxa"/>
          <w:bottom w:w="0" w:type="dxa"/>
          <w:right w:w="0" w:type="dxa"/>
        </w:tblCellMar>
      </w:tblPr>
      <w:tblGrid>
        <w:gridCol w:w="3575"/>
        <w:gridCol w:w="2210"/>
        <w:gridCol w:w="2765"/>
      </w:tblGrid>
      <w:tr>
        <w:trPr/>
        <w:tc>
          <w:tcPr>
            <w:tcW w:w="35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Texas</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1-07521</w:t>
            </w:r>
          </w:p>
        </w:tc>
        <w:tc>
          <w:tcPr>
            <w:tcW w:w="27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74-1504405</w:t>
            </w:r>
          </w:p>
        </w:tc>
      </w:tr>
      <w:tr>
        <w:trPr/>
        <w:tc>
          <w:tcPr>
            <w:tcW w:w="35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tc>
        <w:tc>
          <w:tcPr>
            <w:tcW w:w="2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27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1121 Judson Road Suite 124, Longview, Texas</w:t>
      </w:r>
      <w:r>
        <w:rPr>
          <w:rFonts w:ascii="Times New Roman" w:hAnsi="Times New Roman"/>
          <w:caps w:val="false"/>
          <w:smallCaps w:val="false"/>
          <w:sz w:val="20"/>
        </w:rPr>
        <w:t> </w:t>
      </w:r>
      <w:r>
        <w:rPr>
          <w:rFonts w:ascii="Times New Roman" w:hAnsi="Times New Roman"/>
          <w:b/>
          <w:caps w:val="false"/>
          <w:smallCaps w:val="false"/>
          <w:sz w:val="20"/>
        </w:rPr>
        <w:t>75601</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Address of principal executive offices, including zip code)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(903)</w:t>
      </w:r>
      <w:r>
        <w:rPr>
          <w:rFonts w:ascii="Times New Roman" w:hAnsi="Times New Roman"/>
          <w:caps w:val="false"/>
          <w:smallCaps w:val="false"/>
          <w:sz w:val="20"/>
        </w:rPr>
        <w:t> </w:t>
      </w:r>
      <w:r>
        <w:rPr>
          <w:rFonts w:ascii="Times New Roman" w:hAnsi="Times New Roman"/>
          <w:b/>
          <w:caps w:val="false"/>
          <w:smallCaps w:val="false"/>
          <w:sz w:val="20"/>
        </w:rPr>
        <w:t>758-3431</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Pre-commencement communications pursuant to Rule 14d-2(b) under the Exchange Act (17 CFR 240.14d- 2(b))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Securities registered pursuant to Section 12(b) of the Act: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710" w:type="dxa"/>
        <w:jc w:val="left"/>
        <w:tblInd w:w="0" w:type="dxa"/>
        <w:tblLayout w:type="fixed"/>
        <w:tblCellMar>
          <w:top w:w="28" w:type="dxa"/>
          <w:left w:w="28" w:type="dxa"/>
          <w:bottom w:w="28" w:type="dxa"/>
          <w:right w:w="28" w:type="dxa"/>
        </w:tblCellMar>
      </w:tblPr>
      <w:tblGrid>
        <w:gridCol w:w="2405"/>
        <w:gridCol w:w="1610"/>
        <w:gridCol w:w="3695"/>
      </w:tblGrid>
      <w:tr>
        <w:trPr/>
        <w:tc>
          <w:tcPr>
            <w:tcW w:w="24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369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4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$1 Par Value</w:t>
            </w:r>
          </w:p>
        </w:tc>
        <w:tc>
          <w:tcPr>
            <w:tcW w:w="161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FRD</w:t>
            </w:r>
          </w:p>
        </w:tc>
        <w:tc>
          <w:tcPr>
            <w:tcW w:w="36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1.01</w:t>
      </w:r>
      <w:r>
        <w:rPr>
          <w:rFonts w:ascii="Times New Roman" w:hAnsi="Times New Roman"/>
          <w:caps w:val="false"/>
          <w:smallCaps w:val="false"/>
          <w:sz w:val="20"/>
        </w:rPr>
        <w:t xml:space="preserve"> </w:t>
      </w:r>
      <w:r>
        <w:rPr>
          <w:rFonts w:ascii="Times New Roman" w:hAnsi="Times New Roman"/>
          <w:b/>
          <w:caps w:val="false"/>
          <w:smallCaps w:val="false"/>
          <w:sz w:val="20"/>
        </w:rPr>
        <w:t>Entry into a Material Definitive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Credit Facility Amendment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September 3, 2026, the Company entered into a Seventh Amendment (the “</w:t>
      </w:r>
      <w:r>
        <w:rPr>
          <w:rFonts w:ascii="Times New Roman" w:hAnsi="Times New Roman"/>
          <w:caps w:val="false"/>
          <w:smallCaps w:val="false"/>
          <w:sz w:val="20"/>
          <w:u w:val="single"/>
        </w:rPr>
        <w:t>Amendment</w:t>
      </w:r>
      <w:r>
        <w:rPr>
          <w:rFonts w:ascii="Times New Roman" w:hAnsi="Times New Roman"/>
          <w:caps w:val="false"/>
          <w:smallCaps w:val="false"/>
          <w:sz w:val="20"/>
        </w:rPr>
        <w:t>”) to that certain Amended and Restated Credit Agreement by and among the Company, as a borrower, Century Metals &amp; Supplies, LLC, a Texas limited liability company, as a borrower, the lenders party thereto and JPMorgan Chase Bank, N.A., as administrative agent. The Amendment amends that certain Amended and Restated Credit Agreement dated as of May 19, 2021 (as amended to date, “</w:t>
      </w:r>
      <w:r>
        <w:rPr>
          <w:rFonts w:ascii="Times New Roman" w:hAnsi="Times New Roman"/>
          <w:caps w:val="false"/>
          <w:smallCaps w:val="false"/>
          <w:sz w:val="20"/>
          <w:u w:val="single"/>
        </w:rPr>
        <w:t>A&amp;R Credit Agreement</w:t>
      </w:r>
      <w:r>
        <w:rPr>
          <w:rFonts w:ascii="Times New Roman" w:hAnsi="Times New Roman"/>
          <w:caps w:val="false"/>
          <w:smallCaps w:val="false"/>
          <w:sz w:val="20"/>
        </w:rPr>
        <w:t>”) to, among other things, increase the aggregate commitments under the A&amp;R Credit Agreement from $140 million to $200 million and make certain conforming changes to threshold amounts. This expansion was completed to align the Company's credit facility size with growth in the underlying borrowing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foregoing description of the Amendment is not complete and is qualified in its entirety by reference to the full text of the Amendment, which will be filed as an exhibit to the Company’s Quarterly Report on Form 10-Q for the quarter ending September 30, 2026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2.03</w:t>
      </w:r>
      <w:r>
        <w:rPr>
          <w:rFonts w:ascii="Times New Roman" w:hAnsi="Times New Roman"/>
          <w:caps w:val="false"/>
          <w:smallCaps w:val="false"/>
          <w:sz w:val="20"/>
        </w:rPr>
        <w:t xml:space="preserve"> </w:t>
      </w:r>
      <w:r>
        <w:rPr>
          <w:rFonts w:ascii="Times New Roman" w:hAnsi="Times New Roman"/>
          <w:b/>
          <w:caps w:val="false"/>
          <w:smallCaps w:val="false"/>
          <w:sz w:val="20"/>
        </w:rPr>
        <w:t>Creation of a Direct Financial Obligation or an Obligation under an Off-Balance Sheet Arrangement of a Registrant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provided in Item 1.01 of this Current Report on Form 8-K under the heading “</w:t>
      </w:r>
      <w:r>
        <w:rPr>
          <w:rFonts w:ascii="Times New Roman" w:hAnsi="Times New Roman"/>
          <w:i/>
          <w:caps w:val="false"/>
          <w:smallCaps w:val="false"/>
          <w:sz w:val="20"/>
        </w:rPr>
        <w:t>Credit Facility Amendment</w:t>
      </w:r>
      <w:r>
        <w:rPr>
          <w:rFonts w:ascii="Times New Roman" w:hAnsi="Times New Roman"/>
          <w:caps w:val="false"/>
          <w:smallCaps w:val="false"/>
          <w:sz w:val="20"/>
        </w:rPr>
        <w:t>” is incorporated by reference into this Item 2.03.</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2120"/>
        <w:gridCol w:w="3860"/>
      </w:tblGrid>
      <w:tr>
        <w:trPr/>
        <w:tc>
          <w:tcPr>
            <w:tcW w:w="2120" w:type="dxa"/>
            <w:tcBorders/>
            <w:vAlign w:val="center"/>
          </w:tcPr>
          <w:p>
            <w:pPr>
              <w:pStyle w:val="TableContents"/>
              <w:bidi w:val="0"/>
              <w:spacing w:before="0" w:after="0"/>
              <w:ind w:left="0" w:right="0" w:hanging="0"/>
              <w:jc w:val="left"/>
              <w:rPr/>
            </w:pPr>
            <w:r>
              <w:rPr/>
              <w:t> </w:t>
            </w:r>
          </w:p>
        </w:tc>
        <w:tc>
          <w:tcPr>
            <w:tcW w:w="38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FRIEDMAN INDUSTRIES, INCORPORATED</w:t>
            </w:r>
          </w:p>
        </w:tc>
      </w:tr>
      <w:tr>
        <w:trPr/>
        <w:tc>
          <w:tcPr>
            <w:tcW w:w="2120" w:type="dxa"/>
            <w:tcBorders/>
            <w:vAlign w:val="center"/>
          </w:tcPr>
          <w:p>
            <w:pPr>
              <w:pStyle w:val="TableContents"/>
              <w:bidi w:val="0"/>
              <w:spacing w:before="0" w:after="0"/>
              <w:ind w:left="0" w:right="0" w:hanging="0"/>
              <w:jc w:val="left"/>
              <w:rPr/>
            </w:pPr>
            <w:r>
              <w:rPr/>
              <w:t> </w:t>
            </w:r>
          </w:p>
        </w:tc>
        <w:tc>
          <w:tcPr>
            <w:tcW w:w="3860" w:type="dxa"/>
            <w:tcBorders/>
            <w:vAlign w:val="center"/>
          </w:tcPr>
          <w:p>
            <w:pPr>
              <w:pStyle w:val="TableContents"/>
              <w:bidi w:val="0"/>
              <w:spacing w:before="0" w:after="0"/>
              <w:ind w:left="0" w:right="0" w:hanging="0"/>
              <w:jc w:val="left"/>
              <w:rPr/>
            </w:pPr>
            <w:r>
              <w:rPr/>
              <w:t> </w:t>
            </w:r>
          </w:p>
        </w:tc>
      </w:tr>
      <w:tr>
        <w:trPr/>
        <w:tc>
          <w:tcPr>
            <w:tcW w:w="21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September 10, 2026</w:t>
            </w:r>
          </w:p>
        </w:tc>
        <w:tc>
          <w:tcPr>
            <w:tcW w:w="3860" w:type="dxa"/>
            <w:tcBorders/>
            <w:vAlign w:val="center"/>
          </w:tcPr>
          <w:p>
            <w:pPr>
              <w:pStyle w:val="TableContents"/>
              <w:bidi w:val="0"/>
              <w:spacing w:before="0" w:after="0"/>
              <w:ind w:left="0" w:right="0" w:hanging="0"/>
              <w:jc w:val="left"/>
              <w:rPr/>
            </w:pPr>
            <w:r>
              <w:rPr/>
              <w:t> </w:t>
            </w:r>
          </w:p>
        </w:tc>
      </w:tr>
      <w:tr>
        <w:trPr/>
        <w:tc>
          <w:tcPr>
            <w:tcW w:w="2120" w:type="dxa"/>
            <w:tcBorders/>
            <w:vAlign w:val="center"/>
          </w:tcPr>
          <w:p>
            <w:pPr>
              <w:pStyle w:val="TableContents"/>
              <w:bidi w:val="0"/>
              <w:spacing w:before="0" w:after="0"/>
              <w:ind w:left="0" w:right="0" w:hanging="0"/>
              <w:jc w:val="left"/>
              <w:rPr/>
            </w:pPr>
            <w:r>
              <w:rPr/>
              <w:t> </w:t>
            </w:r>
          </w:p>
        </w:tc>
        <w:tc>
          <w:tcPr>
            <w:tcW w:w="386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/s/ Alex LaRue        </w:t>
            </w:r>
          </w:p>
        </w:tc>
      </w:tr>
      <w:tr>
        <w:trPr/>
        <w:tc>
          <w:tcPr>
            <w:tcW w:w="2120" w:type="dxa"/>
            <w:tcBorders/>
            <w:vAlign w:val="center"/>
          </w:tcPr>
          <w:p>
            <w:pPr>
              <w:pStyle w:val="TableContents"/>
              <w:bidi w:val="0"/>
              <w:spacing w:before="0" w:after="0"/>
              <w:ind w:left="0" w:right="0" w:hanging="0"/>
              <w:jc w:val="left"/>
              <w:rPr/>
            </w:pPr>
            <w:r>
              <w:rPr/>
              <w:t> </w:t>
            </w:r>
          </w:p>
        </w:tc>
        <w:tc>
          <w:tcPr>
            <w:tcW w:w="3860" w:type="dxa"/>
            <w:tcBorders/>
            <w:vAlign w:val="center"/>
          </w:tcPr>
          <w:p>
            <w:pPr>
              <w:pStyle w:val="TableContents"/>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Alex LaRue</w:t>
            </w:r>
          </w:p>
        </w:tc>
      </w:tr>
      <w:tr>
        <w:trPr/>
        <w:tc>
          <w:tcPr>
            <w:tcW w:w="2120" w:type="dxa"/>
            <w:tcBorders/>
            <w:vAlign w:val="center"/>
          </w:tcPr>
          <w:p>
            <w:pPr>
              <w:pStyle w:val="TableContents"/>
              <w:bidi w:val="0"/>
              <w:spacing w:before="0" w:after="0"/>
              <w:ind w:left="0" w:right="0" w:hanging="0"/>
              <w:jc w:val="left"/>
              <w:rPr/>
            </w:pPr>
            <w:r>
              <w:rPr/>
              <w:t> </w:t>
            </w:r>
          </w:p>
        </w:tc>
        <w:tc>
          <w:tcPr>
            <w:tcW w:w="3860"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Secretary and Treasurer</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582</Words>
  <Characters>3187</Characters>
  <CharactersWithSpaces>3792</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