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Mike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STANWICK PLACE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WOODLANDS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77382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FRIEDMAN INDUSTRIES INC</w:t>
              </w:r>
            </w:hyperlink>
            <w:r>
              <w:rPr/>
              <w:t xml:space="preserve"> [ </w:t>
            </w:r>
            <w:r>
              <w:rPr>
                <w:rFonts w:ascii="Times;serif" w:hAnsi="Times;serif"/>
                <w:color w:val="0000FF"/>
                <w:sz w:val="24"/>
                <w:shd w:fill="FFFFFF" w:val="clear"/>
              </w:rPr>
              <w:t>FRD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 CEO / Director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253,166</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restricted Common Stock. Half of the shares will vest in equal amounts each year for three years commencing on April 1, 2026. Half of the shares will vest depending on performance criteria related to earnings before tax and amounts of accounts receivable, inventory and property, plant and equipment over a three-year period commencing April 1, 2026. Vesting for all shares is subject to continued employment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J. Taylor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2215" TargetMode="External"/><Relationship Id="rId5" Type="http://schemas.openxmlformats.org/officeDocument/2006/relationships/hyperlink" Target="http://www.sec.gov/cgi-bin/browse-edgar?action=getcompany&amp;CIK=00000390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3416</Characters>
  <CharactersWithSpaces>3991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